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326" w:rsidRDefault="00660326" w:rsidP="00660326">
      <w:pPr>
        <w:rPr>
          <w:rFonts w:hint="eastAsia"/>
        </w:rPr>
      </w:pPr>
      <w:r>
        <w:rPr>
          <w:rStyle w:val="a6"/>
          <w:rFonts w:hint="eastAsia"/>
          <w:sz w:val="21"/>
          <w:szCs w:val="21"/>
        </w:rPr>
        <w:t>STCW公约马尼拉修正案过渡期合格证补差培训要求</w:t>
      </w:r>
    </w:p>
    <w:p w:rsidR="00660326" w:rsidRDefault="00660326" w:rsidP="00660326">
      <w:pPr>
        <w:rPr>
          <w:rFonts w:hint="eastAsia"/>
        </w:rPr>
      </w:pPr>
      <w:r>
        <w:rPr>
          <w:rStyle w:val="a6"/>
          <w:rFonts w:hint="eastAsia"/>
          <w:sz w:val="21"/>
          <w:szCs w:val="21"/>
        </w:rPr>
        <w:t>表一 基本安全过渡期培训纲要与学时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04"/>
        <w:gridCol w:w="716"/>
        <w:gridCol w:w="716"/>
      </w:tblGrid>
      <w:tr w:rsidR="00660326" w:rsidTr="003A411D">
        <w:trPr>
          <w:tblCellSpacing w:w="0" w:type="dxa"/>
          <w:jc w:val="center"/>
        </w:trPr>
        <w:tc>
          <w:tcPr>
            <w:tcW w:w="6945"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br/>
              <w:t xml:space="preserve">内       容 </w:t>
            </w:r>
          </w:p>
        </w:tc>
        <w:tc>
          <w:tcPr>
            <w:tcW w:w="1440" w:type="dxa"/>
            <w:gridSpan w:val="2"/>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学时</w:t>
            </w:r>
          </w:p>
        </w:tc>
      </w:tr>
      <w:tr w:rsidR="00660326" w:rsidTr="003A411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理论</w:t>
            </w:r>
          </w:p>
        </w:tc>
        <w:tc>
          <w:tcPr>
            <w:tcW w:w="720"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实践</w:t>
            </w: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 有助于船上有效的交流</w:t>
            </w:r>
          </w:p>
        </w:tc>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1</w:t>
            </w:r>
          </w:p>
        </w:tc>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1.1 对船上个人和团队之间有效交流的原则和交流障碍的理解</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1.2 建立和保持有效交流的能力</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 有助于船上有效的人际关系</w:t>
            </w:r>
          </w:p>
        </w:tc>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1</w:t>
            </w:r>
          </w:p>
        </w:tc>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2.1 保持船上良好的人际关系和工作关系的重要性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2.2 团队工作的基本原则和做法，冲突的解决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2.3 社会责任；雇用条件；个人权利及义务；滥用药物和酗酒的危害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 理解并采取必要的措施控制疲劳</w:t>
            </w:r>
          </w:p>
        </w:tc>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2</w:t>
            </w:r>
          </w:p>
        </w:tc>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3.1 必要休息的重要性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3.2 睡眠、作息时间与生理节律对疲劳的影响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3.3 身体紧张刺激因素对海员的影响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3.4 船舶内外环境的紧张刺激因素对海员的影响及其后果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3.5 作息时间的改变对海员疲劳的影响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694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合计:4</w:t>
            </w:r>
          </w:p>
        </w:tc>
        <w:tc>
          <w:tcPr>
            <w:tcW w:w="720"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4</w:t>
            </w:r>
          </w:p>
        </w:tc>
        <w:tc>
          <w:tcPr>
            <w:tcW w:w="720"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bl>
    <w:p w:rsidR="00660326" w:rsidRDefault="00660326" w:rsidP="00660326">
      <w:pPr>
        <w:rPr>
          <w:rFonts w:hint="eastAsia"/>
        </w:rPr>
      </w:pPr>
      <w:r>
        <w:rPr>
          <w:rStyle w:val="a6"/>
          <w:rFonts w:hint="eastAsia"/>
          <w:sz w:val="21"/>
          <w:szCs w:val="21"/>
        </w:rPr>
        <w:t>表二  船舶保安员过渡期培训纲要与学时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04"/>
        <w:gridCol w:w="716"/>
        <w:gridCol w:w="716"/>
      </w:tblGrid>
      <w:tr w:rsidR="00660326" w:rsidTr="00660326">
        <w:trPr>
          <w:tblCellSpacing w:w="0" w:type="dxa"/>
          <w:jc w:val="center"/>
        </w:trPr>
        <w:tc>
          <w:tcPr>
            <w:tcW w:w="6904"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br/>
              <w:t xml:space="preserve">内       容 </w:t>
            </w:r>
          </w:p>
        </w:tc>
        <w:tc>
          <w:tcPr>
            <w:tcW w:w="1432" w:type="dxa"/>
            <w:gridSpan w:val="2"/>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学时</w:t>
            </w:r>
          </w:p>
        </w:tc>
      </w:tr>
      <w:tr w:rsidR="00660326" w:rsidTr="0066032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716"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理论</w:t>
            </w:r>
          </w:p>
        </w:tc>
        <w:tc>
          <w:tcPr>
            <w:tcW w:w="716"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实践</w:t>
            </w:r>
          </w:p>
        </w:tc>
      </w:tr>
      <w:tr w:rsidR="00660326" w:rsidTr="00660326">
        <w:trPr>
          <w:tblCellSpacing w:w="0" w:type="dxa"/>
          <w:jc w:val="center"/>
        </w:trPr>
        <w:tc>
          <w:tcPr>
            <w:tcW w:w="6904"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 船舶防海盗及武装劫持</w:t>
            </w:r>
          </w:p>
        </w:tc>
        <w:tc>
          <w:tcPr>
            <w:tcW w:w="71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4</w:t>
            </w:r>
          </w:p>
        </w:tc>
        <w:tc>
          <w:tcPr>
            <w:tcW w:w="71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904"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4.1船舶防海盗工作的预防及准备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4"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4.2船舶防海盗及武装劫持的设备和系统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4"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4.3船舶遭遇海盗袭击时的应对措施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4"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4.4海盗登船后的应对措施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4"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合计</w:t>
            </w:r>
          </w:p>
        </w:tc>
        <w:tc>
          <w:tcPr>
            <w:tcW w:w="716"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4</w:t>
            </w:r>
          </w:p>
        </w:tc>
        <w:tc>
          <w:tcPr>
            <w:tcW w:w="716"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bl>
    <w:p w:rsidR="00660326" w:rsidRDefault="00660326" w:rsidP="00660326">
      <w:pPr>
        <w:rPr>
          <w:rFonts w:hint="eastAsia"/>
        </w:rPr>
      </w:pPr>
      <w:r>
        <w:rPr>
          <w:rStyle w:val="a6"/>
          <w:rFonts w:hint="eastAsia"/>
          <w:sz w:val="21"/>
          <w:szCs w:val="21"/>
        </w:rPr>
        <w:t>表三  油船、化学品船货物操作基本培训过渡期培训纲要与学时（油补化）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01"/>
        <w:gridCol w:w="718"/>
        <w:gridCol w:w="717"/>
      </w:tblGrid>
      <w:tr w:rsidR="00660326" w:rsidTr="00660326">
        <w:trPr>
          <w:tblCellSpacing w:w="0" w:type="dxa"/>
          <w:jc w:val="center"/>
        </w:trPr>
        <w:tc>
          <w:tcPr>
            <w:tcW w:w="6901"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br/>
              <w:t xml:space="preserve">内       容 </w:t>
            </w:r>
          </w:p>
        </w:tc>
        <w:tc>
          <w:tcPr>
            <w:tcW w:w="1435" w:type="dxa"/>
            <w:gridSpan w:val="2"/>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学时</w:t>
            </w:r>
          </w:p>
        </w:tc>
      </w:tr>
      <w:tr w:rsidR="00660326" w:rsidTr="0066032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718"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理论</w:t>
            </w:r>
          </w:p>
        </w:tc>
        <w:tc>
          <w:tcPr>
            <w:tcW w:w="717"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实践</w:t>
            </w: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1.化学品船的基本知识</w:t>
            </w:r>
          </w:p>
        </w:tc>
        <w:tc>
          <w:tcPr>
            <w:tcW w:w="718"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p w:rsidR="00660326" w:rsidRDefault="00660326" w:rsidP="00660326">
            <w:pPr>
              <w:rPr>
                <w:sz w:val="18"/>
                <w:szCs w:val="18"/>
              </w:rPr>
            </w:pPr>
            <w:r>
              <w:rPr>
                <w:rFonts w:hint="eastAsia"/>
                <w:sz w:val="18"/>
                <w:szCs w:val="18"/>
              </w:rPr>
              <w:t>2.0</w:t>
            </w:r>
          </w:p>
        </w:tc>
        <w:tc>
          <w:tcPr>
            <w:tcW w:w="717"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1.1化学品船概述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1.2化学品船管理的有关国际公约、国内规定简介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1.3化学品船的类型、构造及特点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1.3.1了解化学品船船型划分的分类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1.3.2了解各舱室和邻近区域的布置和隔离要求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1.3.3了解化学品船的通风系统的布置及要求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1.4化学品液体货物有关的理化知识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2.化学品船货物操作的基本知识</w:t>
            </w:r>
          </w:p>
        </w:tc>
        <w:tc>
          <w:tcPr>
            <w:tcW w:w="718"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p w:rsidR="00660326" w:rsidRDefault="00660326" w:rsidP="00660326">
            <w:pPr>
              <w:rPr>
                <w:sz w:val="18"/>
                <w:szCs w:val="18"/>
              </w:rPr>
            </w:pPr>
            <w:r>
              <w:rPr>
                <w:rFonts w:hint="eastAsia"/>
                <w:sz w:val="18"/>
                <w:szCs w:val="18"/>
              </w:rPr>
              <w:t>3.0</w:t>
            </w:r>
          </w:p>
        </w:tc>
        <w:tc>
          <w:tcPr>
            <w:tcW w:w="717"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2.1 了解化学品船的液货舱及其他液体舱管路布置</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lastRenderedPageBreak/>
              <w:t> 2.2 了解化学品船货泵的种类、特点及作用简介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2.3化学品船货物操作一般介绍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2.3.1熟悉装货和卸货、货物温度压力控制、溢流控制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2.3.2了解货舱清洗及验舱、防止大气和海洋污染措施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2.3.3了解惰气操作、货舱环境控制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3.化学品船操作危害和危害控制的基本知识</w:t>
            </w:r>
          </w:p>
        </w:tc>
        <w:tc>
          <w:tcPr>
            <w:tcW w:w="718"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3.0</w:t>
            </w:r>
          </w:p>
        </w:tc>
        <w:tc>
          <w:tcPr>
            <w:tcW w:w="717"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3.1 熟悉化学品船的操作危害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3.1.1健康危害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3.1.2环境危害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3.1.3化学反应的危害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3.1.4腐蚀性的危害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3.1.5燃烧和爆炸的危害性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3.1.6毒气危害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3.2化学品船货物危害的控制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3.2.1氮气操作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3.2.2防静电措施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3.2.3通风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3.2.4隔离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3.2.5货物抑制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3.2.6货物的兼容性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3.2.7大气控制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3.2.8气体测试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3.2.9 MARPOL公约附则II对控制化学品污染的要求和措施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3.2.10 MSDS货物资料</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3.3化学品船的防护设备和安全装备的功能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3.3.1呼吸设备和逃生设备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3.3.2防化服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3.3.3氧气复苏器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3.3.4救助和应急逃生设备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3.3.4眼冲洗和喷淋设备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4.化学品船的消防</w:t>
            </w:r>
          </w:p>
        </w:tc>
        <w:tc>
          <w:tcPr>
            <w:tcW w:w="718"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1.0</w:t>
            </w:r>
          </w:p>
        </w:tc>
        <w:tc>
          <w:tcPr>
            <w:tcW w:w="717"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4.1熟悉化学品的火灾危害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4.1.1化学品的火灾的特性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4.1.2化学品的火灾预防原则和注意事项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4.1.3扑灭液体化学品火灾的基本要求和使用的灭火剂及设备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4.2熟悉化学品船的消防设备的介绍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4.2.1大型抗溶性泡沫灭火系统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4.2.2抗溶性移动泡沫灭火系统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4.2.3大型CO2灭火系统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4.2.4水雾灭火系统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lastRenderedPageBreak/>
              <w:t>5.化学品船的应急程序</w:t>
            </w:r>
          </w:p>
        </w:tc>
        <w:tc>
          <w:tcPr>
            <w:tcW w:w="718"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p w:rsidR="00660326" w:rsidRDefault="00660326" w:rsidP="00660326">
            <w:pPr>
              <w:rPr>
                <w:sz w:val="18"/>
                <w:szCs w:val="18"/>
              </w:rPr>
            </w:pPr>
            <w:r>
              <w:rPr>
                <w:rFonts w:hint="eastAsia"/>
                <w:sz w:val="18"/>
                <w:szCs w:val="18"/>
              </w:rPr>
              <w:t>2.0</w:t>
            </w:r>
          </w:p>
        </w:tc>
        <w:tc>
          <w:tcPr>
            <w:tcW w:w="717"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5.1组织机构</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5.1.1 熟悉应急组织机构的目的和要求及制定船上应急计划的重要性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xml:space="preserve">  5.1.2 熟悉组织机构的组成及各组成部分的职责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5.3 应急程序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5.3.1 发生应急情况时的行动计划</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5.3.2 发生应急情况时的反应措施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5.3.3 ICS货物数据手册给出的正确的应急程序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5.3.4清除污染物设备的使用方法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5.3.5船舶应急切断的基本知识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5.4急救处理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5.4.1 了解ICS货物数据手册中给出的急救程序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5.4.2了解发生事故后使用的医疗设备和急救处理措施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6.化学品船安全文化和安全管理的知识</w:t>
            </w:r>
          </w:p>
        </w:tc>
        <w:tc>
          <w:tcPr>
            <w:tcW w:w="718"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1.0</w:t>
            </w:r>
          </w:p>
        </w:tc>
        <w:tc>
          <w:tcPr>
            <w:tcW w:w="717"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6.1 国际船舶安全管理（ISM）</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6.2 风险评估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6.3 隐患排查</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6.4 安全会、安全员制度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6.5 培训（岸培和船培）的内容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7.实操训练</w:t>
            </w:r>
          </w:p>
        </w:tc>
        <w:tc>
          <w:tcPr>
            <w:tcW w:w="718"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c>
          <w:tcPr>
            <w:tcW w:w="717"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6.0</w:t>
            </w: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7.1 参观化学品船，观摩化学品船模型、挂图或有关影视片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7.2 观摩化学品船装卸货作业、洗舱作业和惰气系统操作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7.3 熟练掌握进行深舱或液货舱舱内救人和急救实操，正确穿防护服，戴呼吸器和救生索</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7.4 熟练掌握进行测毒仪、舱气检测装置、防化服、眼冲洗及喷淋装置的实际操作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7.5 熟练掌握化学品船消防设备使用方法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7.6 熟练掌握化学品船医疗设备的使用方法进行急救实操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901"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合计:18学时</w:t>
            </w:r>
          </w:p>
        </w:tc>
        <w:tc>
          <w:tcPr>
            <w:tcW w:w="718"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12.0</w:t>
            </w:r>
          </w:p>
        </w:tc>
        <w:tc>
          <w:tcPr>
            <w:tcW w:w="717"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6.0</w:t>
            </w:r>
          </w:p>
        </w:tc>
      </w:tr>
    </w:tbl>
    <w:p w:rsidR="00660326" w:rsidRDefault="00660326" w:rsidP="00660326">
      <w:pPr>
        <w:rPr>
          <w:rFonts w:hint="eastAsia"/>
        </w:rPr>
      </w:pPr>
      <w:r>
        <w:rPr>
          <w:rStyle w:val="a6"/>
          <w:rFonts w:hint="eastAsia"/>
          <w:sz w:val="21"/>
          <w:szCs w:val="21"/>
        </w:rPr>
        <w:t>表四  油船、化学品船货物操作基本培训过渡期培训纲要与学时（化补油）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79"/>
        <w:gridCol w:w="851"/>
        <w:gridCol w:w="906"/>
      </w:tblGrid>
      <w:tr w:rsidR="00660326" w:rsidTr="00660326">
        <w:trPr>
          <w:tblCellSpacing w:w="0" w:type="dxa"/>
          <w:jc w:val="center"/>
        </w:trPr>
        <w:tc>
          <w:tcPr>
            <w:tcW w:w="6579"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br/>
              <w:t xml:space="preserve">内        容 </w:t>
            </w:r>
          </w:p>
        </w:tc>
        <w:tc>
          <w:tcPr>
            <w:tcW w:w="1757" w:type="dxa"/>
            <w:gridSpan w:val="2"/>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学时</w:t>
            </w:r>
          </w:p>
        </w:tc>
      </w:tr>
      <w:tr w:rsidR="00660326" w:rsidTr="0066032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851"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理论</w:t>
            </w:r>
          </w:p>
        </w:tc>
        <w:tc>
          <w:tcPr>
            <w:tcW w:w="906"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实操</w:t>
            </w: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1.油船的基本知识</w:t>
            </w:r>
          </w:p>
        </w:tc>
        <w:tc>
          <w:tcPr>
            <w:tcW w:w="851"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2.0</w:t>
            </w:r>
          </w:p>
        </w:tc>
        <w:tc>
          <w:tcPr>
            <w:tcW w:w="90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1.1油船概述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1.1.1油船的发展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1.1.2油船的类型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1.2油船的布置和构造</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1.2.1了解IEC（国际电工委员会）及我国船级社对液货船危险区域的划分原理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1.2.2了解生活区及驾驶台和货物区域的位置关系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1.2.3了解甲板溢油隔离生活区所必需的设施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1.2.4了解油船舱壁和甲板在防火性能方面的特殊要求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lastRenderedPageBreak/>
              <w:t>  1.2.5了解专用压载舱（SBT）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1.3油船货物的性质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1.3.1常见的油船承载的货物种类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1.3.2有关石油的术语和概念（压力和温度等）</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1.3.3有关货油的静电知识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2.油船作业的危害和危害控制的基本知识</w:t>
            </w:r>
          </w:p>
        </w:tc>
        <w:tc>
          <w:tcPr>
            <w:tcW w:w="851"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3.0</w:t>
            </w:r>
          </w:p>
        </w:tc>
        <w:tc>
          <w:tcPr>
            <w:tcW w:w="90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2.1有毒物质对人身健康的危害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2.2对环境的危害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2.3 化学反应的危害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2.4了解腐蚀危害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2.5精通爆炸和火灾危害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2.6理解点火源，包括静电危害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2.7了解蒸汽、油气、惰气泄漏和烟雾对人员与环境的危害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2.8危害控制的基本知识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2.8.1充惰气、干燥剂和检测技术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2.8.2防静电措施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2.8.3 通风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2.8.4隔离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2.8.5货物抑制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2.8.6 货物兼容的重要性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2.8.7大气控制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2.8.8 常见有害气体测试和监控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2.8.9物质安全数据表上数据的理解</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2.8.9.1安全数据表的内容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2.8.9.2按要求熟悉本航次所载货油的MSDS中所述的特性及发生危急时所采取的应急措施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2.8.10熟练掌握气体测量仪器的功能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3.应急反应</w:t>
            </w:r>
          </w:p>
        </w:tc>
        <w:tc>
          <w:tcPr>
            <w:tcW w:w="851"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2.0</w:t>
            </w:r>
          </w:p>
        </w:tc>
        <w:tc>
          <w:tcPr>
            <w:tcW w:w="90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3.1熟悉油船应急程序的基本知识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3.2熟悉溢油事故性泄漏的应急行动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3.3精通油轮火灾反应的组织和行动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3.4熟悉货物操作及运输引起的危害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3.5船上防污染程序的基本知识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4.货物操作的基本知识</w:t>
            </w:r>
          </w:p>
        </w:tc>
        <w:tc>
          <w:tcPr>
            <w:tcW w:w="851"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3.0</w:t>
            </w:r>
          </w:p>
        </w:tc>
        <w:tc>
          <w:tcPr>
            <w:tcW w:w="90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4.1 货物操作系统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4.1.1货油管系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4.1.2 油船透气系统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4.1.3货油加温系统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4.1.4压载系统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4.1.5惰气系统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lastRenderedPageBreak/>
              <w:t>4.1.6阀门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4.1.7货泵系统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4.2 洗舱的基本知识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4.3舱气置换的基本知识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5.油船安全文化和安全管理</w:t>
            </w:r>
          </w:p>
        </w:tc>
        <w:tc>
          <w:tcPr>
            <w:tcW w:w="851"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2.0</w:t>
            </w:r>
          </w:p>
        </w:tc>
        <w:tc>
          <w:tcPr>
            <w:tcW w:w="90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5.1 了解国际船舶安全管理（ISM）</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5.2了解风险评估（TMSA）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5.3了解隐患排查（near miss）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5.4了解安全会、安全员制度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5.5了解培训（岸培和船培）的内容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5.5.1履约培训</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5.5.2安全责任和意识的培训</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5.5.3技术技能的培训</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5.5.4船上关键性操作的培训</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5.5.5船上的应急培训</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6.实操训练</w:t>
            </w:r>
          </w:p>
        </w:tc>
        <w:tc>
          <w:tcPr>
            <w:tcW w:w="851"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c>
          <w:tcPr>
            <w:tcW w:w="90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6</w:t>
            </w: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6.1 参观油船、观摩油船模型、挂图或有关影视片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6.2 观摩油船装卸货作业、洗舱作业和惰气系统操作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6.3 熟练掌握进行深舱或液货舱舱内救人和急救实操，正确穿防护服，戴呼吸器和救生索</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6.4 熟练掌握进行测毒仪、液位测量装置、舱气检测装置、应急逃生呼吸器具的实际操作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6.5 熟练掌握油船消防设备使用方法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6.6 熟练掌握油船医疗设备的使用方法进行急救实操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579"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合计：18学时</w:t>
            </w:r>
          </w:p>
        </w:tc>
        <w:tc>
          <w:tcPr>
            <w:tcW w:w="851"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12</w:t>
            </w:r>
          </w:p>
        </w:tc>
        <w:tc>
          <w:tcPr>
            <w:tcW w:w="906"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6</w:t>
            </w:r>
          </w:p>
        </w:tc>
      </w:tr>
    </w:tbl>
    <w:p w:rsidR="00660326" w:rsidRDefault="00660326" w:rsidP="00660326">
      <w:pPr>
        <w:rPr>
          <w:rFonts w:hint="eastAsia"/>
        </w:rPr>
      </w:pPr>
      <w:r>
        <w:rPr>
          <w:rStyle w:val="a6"/>
          <w:rFonts w:hint="eastAsia"/>
          <w:sz w:val="21"/>
          <w:szCs w:val="21"/>
        </w:rPr>
        <w:t>表五  油船货物操作高级培训过渡期培训纲要与学时（补差原油洗舱）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86"/>
        <w:gridCol w:w="726"/>
        <w:gridCol w:w="724"/>
      </w:tblGrid>
      <w:tr w:rsidR="00660326" w:rsidTr="00660326">
        <w:trPr>
          <w:tblCellSpacing w:w="0" w:type="dxa"/>
          <w:jc w:val="center"/>
        </w:trPr>
        <w:tc>
          <w:tcPr>
            <w:tcW w:w="688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br/>
              <w:t xml:space="preserve">内 容 </w:t>
            </w:r>
          </w:p>
        </w:tc>
        <w:tc>
          <w:tcPr>
            <w:tcW w:w="1450" w:type="dxa"/>
            <w:gridSpan w:val="2"/>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学时</w:t>
            </w:r>
          </w:p>
        </w:tc>
      </w:tr>
      <w:tr w:rsidR="00660326" w:rsidTr="0066032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72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理论</w:t>
            </w:r>
          </w:p>
        </w:tc>
        <w:tc>
          <w:tcPr>
            <w:tcW w:w="724"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实操</w:t>
            </w: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1.原油洗舱 （COW）</w:t>
            </w:r>
          </w:p>
        </w:tc>
        <w:tc>
          <w:tcPr>
            <w:tcW w:w="72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8.0</w:t>
            </w:r>
          </w:p>
        </w:tc>
        <w:tc>
          <w:tcPr>
            <w:tcW w:w="724"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1.1了解原油洗舱的含义、历史背景和特点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1.2了解原油洗舱如何实现对海洋环境的保护</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1.3熟悉对原油洗舱设备和人员的要求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1.4熟悉洗舱机的结构和洗舱原理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1.5理解洗舱布置原则和清洗方式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1.6了解港口国管理程序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1.7理解编制卸货与原油洗舱计划</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1.8熟悉洗舱前的准备工作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1.9熟悉洗舱期间的注意事项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1.10熟悉洗舱后的检验和评估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xml:space="preserve">  1.11熟悉实施原油洗舱作业的总体程序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lastRenderedPageBreak/>
              <w:t> 1.12熟悉《原油洗舱操作与设备手册》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1.13熟悉港内检查原油洗舱程序的指导规则</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2.惰性气体系统（IGS）</w:t>
            </w:r>
          </w:p>
        </w:tc>
        <w:tc>
          <w:tcPr>
            <w:tcW w:w="72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4.0</w:t>
            </w:r>
          </w:p>
        </w:tc>
        <w:tc>
          <w:tcPr>
            <w:tcW w:w="724"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2.1 IGS概述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2.1.1理解安装IGS的目的</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2.1.2理解系统流程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xml:space="preserve">   2.1.3理解系统加惰气和除气作业的流程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2.2 IGS的设备组成的设计特点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2.2.1了解系统的设计参数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2.2.2了解各设备的设计特点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xml:space="preserve">   2.2.3了解系统报警值的设定范围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2.3理解IGS各设备管理和维护</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2.3.1净化器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2.3.2甲板水封</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2.3.3压力/真空破坏器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2.3.4固定式氧气分析仪</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xml:space="preserve">   2.3.5风机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2.4熟练掌握IGS的准备程序和运行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2.4.1惰性气体供给的准备和运行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2.4.2新鲜空气供给的准备和运行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2.4.3排气阀压力指示控制器的操纵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2.4.4主气阀压力记录控制器的操纵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2.4.5停止运行后应做的工作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xml:space="preserve">   2.4.6安全装置动作情况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2.5熟练掌握IGS的应用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2.5.1装/卸载时的应用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2.5.2载货航行、压载航行和惰化空舱的应用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2.5.3洗舱的应用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2.5.4除气和进入货油舱的应用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3.实操训练</w:t>
            </w:r>
          </w:p>
        </w:tc>
        <w:tc>
          <w:tcPr>
            <w:tcW w:w="726"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c>
          <w:tcPr>
            <w:tcW w:w="724"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6.0</w:t>
            </w: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3.1熟练掌握在实验室模拟装置上进行IGS的动作操作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3.2观摩油船洗舱系统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3.3熟练掌握在实验室模拟装置上或在船上进行洗舱和原油洗舱的实际操作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3.4熟练掌握在实验室模拟器上或在船上观摩和进行含油污水排放装置的操作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660326">
        <w:trPr>
          <w:tblCellSpacing w:w="0" w:type="dxa"/>
          <w:jc w:val="center"/>
        </w:trPr>
        <w:tc>
          <w:tcPr>
            <w:tcW w:w="6886"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合计：18学时</w:t>
            </w:r>
          </w:p>
        </w:tc>
        <w:tc>
          <w:tcPr>
            <w:tcW w:w="726"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12.0</w:t>
            </w:r>
          </w:p>
        </w:tc>
        <w:tc>
          <w:tcPr>
            <w:tcW w:w="724"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6.0</w:t>
            </w:r>
          </w:p>
        </w:tc>
      </w:tr>
    </w:tbl>
    <w:p w:rsidR="00660326" w:rsidRDefault="00660326" w:rsidP="00660326">
      <w:pPr>
        <w:rPr>
          <w:rFonts w:hint="eastAsia"/>
        </w:rPr>
      </w:pPr>
      <w:r>
        <w:rPr>
          <w:rStyle w:val="a6"/>
          <w:rFonts w:hint="eastAsia"/>
          <w:sz w:val="21"/>
          <w:szCs w:val="21"/>
        </w:rPr>
        <w:t>表六  客船船员特殊培训过渡期培训纲要与学时（补差滚装客船）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68"/>
        <w:gridCol w:w="684"/>
        <w:gridCol w:w="684"/>
      </w:tblGrid>
      <w:tr w:rsidR="00660326" w:rsidTr="003A411D">
        <w:trPr>
          <w:tblCellSpacing w:w="0" w:type="dxa"/>
          <w:jc w:val="center"/>
        </w:trPr>
        <w:tc>
          <w:tcPr>
            <w:tcW w:w="7305"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br/>
              <w:t xml:space="preserve">内       容 </w:t>
            </w:r>
          </w:p>
        </w:tc>
        <w:tc>
          <w:tcPr>
            <w:tcW w:w="1440" w:type="dxa"/>
            <w:gridSpan w:val="2"/>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学时</w:t>
            </w:r>
          </w:p>
        </w:tc>
      </w:tr>
      <w:tr w:rsidR="00660326" w:rsidTr="003A411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720"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理论</w:t>
            </w:r>
          </w:p>
        </w:tc>
        <w:tc>
          <w:tcPr>
            <w:tcW w:w="720"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实操</w:t>
            </w: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1.滚装客船基础知识</w:t>
            </w:r>
          </w:p>
        </w:tc>
        <w:tc>
          <w:tcPr>
            <w:tcW w:w="720" w:type="dxa"/>
            <w:vMerge w:val="restart"/>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w:t>
            </w:r>
          </w:p>
          <w:p w:rsidR="00660326" w:rsidRDefault="00660326" w:rsidP="00660326">
            <w:pPr>
              <w:rPr>
                <w:rFonts w:hint="eastAsia"/>
                <w:sz w:val="18"/>
                <w:szCs w:val="18"/>
              </w:rPr>
            </w:pPr>
            <w:r>
              <w:rPr>
                <w:rFonts w:hint="eastAsia"/>
                <w:sz w:val="18"/>
                <w:szCs w:val="18"/>
              </w:rPr>
              <w:t> </w:t>
            </w:r>
          </w:p>
          <w:p w:rsidR="00660326" w:rsidRDefault="00660326" w:rsidP="00660326">
            <w:pPr>
              <w:rPr>
                <w:sz w:val="18"/>
                <w:szCs w:val="18"/>
              </w:rPr>
            </w:pPr>
            <w:r>
              <w:rPr>
                <w:rFonts w:hint="eastAsia"/>
                <w:sz w:val="18"/>
                <w:szCs w:val="18"/>
              </w:rPr>
              <w:lastRenderedPageBreak/>
              <w:t>3.0</w:t>
            </w:r>
          </w:p>
        </w:tc>
        <w:tc>
          <w:tcPr>
            <w:tcW w:w="720" w:type="dxa"/>
            <w:vMerge w:val="restart"/>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lastRenderedPageBreak/>
              <w:t> </w:t>
            </w: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1.1滚装客船概述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lastRenderedPageBreak/>
              <w:t> 1.2滚装客船的设计特点及其局限性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lastRenderedPageBreak/>
              <w:t> 1.3滚装客船的操纵特性及其局限性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1.4滚装客船典型案例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1.5国际和国内有关滚装客船的法律、法规</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xml:space="preserve">2.旅客安全、货物安全和船体完整性                                              </w:t>
            </w:r>
          </w:p>
        </w:tc>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6.0</w:t>
            </w:r>
          </w:p>
        </w:tc>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r>
              <w:rPr>
                <w:rFonts w:hint="eastAsia"/>
                <w:sz w:val="18"/>
                <w:szCs w:val="18"/>
              </w:rPr>
              <w:t> </w:t>
            </w: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2.1装卸货物单元的程序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2.2安排上下旅客特别注意残疾人和需要帮助旅客的程序。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2.3滚装客船的稳性和吃水差、船舶强度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2.4货物卸积载程序，货物系固设备和材料及其局限性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2.5货舱大气的检测和正确的通风程序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2.6防止进水和维持水密边界的重要性，保持稳性和水密完整性的关键因素</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3.危机管理</w:t>
            </w:r>
          </w:p>
        </w:tc>
        <w:tc>
          <w:tcPr>
            <w:tcW w:w="720" w:type="dxa"/>
            <w:vMerge w:val="restart"/>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w:t>
            </w:r>
          </w:p>
          <w:p w:rsidR="00660326" w:rsidRDefault="00660326" w:rsidP="00660326">
            <w:pPr>
              <w:rPr>
                <w:rFonts w:hint="eastAsia"/>
                <w:sz w:val="18"/>
                <w:szCs w:val="18"/>
              </w:rPr>
            </w:pPr>
            <w:r>
              <w:rPr>
                <w:rFonts w:hint="eastAsia"/>
                <w:sz w:val="18"/>
                <w:szCs w:val="18"/>
              </w:rPr>
              <w:t> </w:t>
            </w:r>
          </w:p>
          <w:p w:rsidR="00660326" w:rsidRDefault="00660326" w:rsidP="00660326">
            <w:pPr>
              <w:rPr>
                <w:sz w:val="18"/>
                <w:szCs w:val="18"/>
              </w:rPr>
            </w:pPr>
            <w:r>
              <w:rPr>
                <w:rFonts w:hint="eastAsia"/>
                <w:sz w:val="18"/>
                <w:szCs w:val="18"/>
              </w:rPr>
              <w:t>3.0</w:t>
            </w:r>
          </w:p>
        </w:tc>
        <w:tc>
          <w:tcPr>
            <w:tcW w:w="720" w:type="dxa"/>
            <w:vMerge w:val="restart"/>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w:t>
            </w: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3.1应急计划和程序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3.2应急资源的局限性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3.3滚装客船消防的特点，货物舱室防火与灭火程序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3.4船舶破损计划和组织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4.滚装客船实训操作</w:t>
            </w:r>
          </w:p>
        </w:tc>
        <w:tc>
          <w:tcPr>
            <w:tcW w:w="720" w:type="dxa"/>
            <w:vMerge w:val="restart"/>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w:t>
            </w:r>
          </w:p>
        </w:tc>
        <w:tc>
          <w:tcPr>
            <w:tcW w:w="720" w:type="dxa"/>
            <w:vMerge w:val="restart"/>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 xml:space="preserve">  </w:t>
            </w:r>
          </w:p>
          <w:p w:rsidR="00660326" w:rsidRDefault="00660326" w:rsidP="00660326">
            <w:pPr>
              <w:rPr>
                <w:sz w:val="18"/>
                <w:szCs w:val="18"/>
              </w:rPr>
            </w:pPr>
            <w:r>
              <w:rPr>
                <w:rFonts w:hint="eastAsia"/>
                <w:sz w:val="18"/>
                <w:szCs w:val="18"/>
              </w:rPr>
              <w:t> 6.0</w:t>
            </w: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4.1模拟消防演习，正确使用消防资源。</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4.2了解船舶破损控制系统，舱室进水保证水密完整性的具体措施，正确操作（开、闭、紧固）船体开口部分及正确检查开口部分水密的方法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4.3模拟紧急情况下的场景，协助旅客有序疏散、迅速转移到集合点，并正确操作紧急撤离系统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0326" w:rsidRDefault="00660326" w:rsidP="00660326">
            <w:pPr>
              <w:rPr>
                <w:sz w:val="18"/>
                <w:szCs w:val="18"/>
              </w:rPr>
            </w:pPr>
          </w:p>
        </w:tc>
      </w:tr>
      <w:tr w:rsidR="00660326" w:rsidTr="003A411D">
        <w:trPr>
          <w:tblCellSpacing w:w="0" w:type="dxa"/>
          <w:jc w:val="center"/>
        </w:trPr>
        <w:tc>
          <w:tcPr>
            <w:tcW w:w="7305"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合计：共18学时</w:t>
            </w:r>
          </w:p>
        </w:tc>
        <w:tc>
          <w:tcPr>
            <w:tcW w:w="720"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12.0</w:t>
            </w:r>
          </w:p>
        </w:tc>
        <w:tc>
          <w:tcPr>
            <w:tcW w:w="720" w:type="dxa"/>
            <w:tcBorders>
              <w:top w:val="outset" w:sz="6" w:space="0" w:color="auto"/>
              <w:left w:val="outset" w:sz="6" w:space="0" w:color="auto"/>
              <w:bottom w:val="outset" w:sz="6" w:space="0" w:color="auto"/>
              <w:right w:val="outset" w:sz="6" w:space="0" w:color="auto"/>
            </w:tcBorders>
            <w:hideMark/>
          </w:tcPr>
          <w:p w:rsidR="00660326" w:rsidRDefault="00660326" w:rsidP="00660326">
            <w:pPr>
              <w:rPr>
                <w:sz w:val="18"/>
                <w:szCs w:val="18"/>
              </w:rPr>
            </w:pPr>
            <w:r>
              <w:rPr>
                <w:rFonts w:hint="eastAsia"/>
                <w:sz w:val="18"/>
                <w:szCs w:val="18"/>
              </w:rPr>
              <w:t>6.0</w:t>
            </w:r>
          </w:p>
        </w:tc>
      </w:tr>
    </w:tbl>
    <w:p w:rsidR="006E34CC" w:rsidRDefault="006E34CC" w:rsidP="00660326"/>
    <w:sectPr w:rsidR="006E34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4CC" w:rsidRDefault="006E34CC" w:rsidP="00660326">
      <w:r>
        <w:separator/>
      </w:r>
    </w:p>
  </w:endnote>
  <w:endnote w:type="continuationSeparator" w:id="1">
    <w:p w:rsidR="006E34CC" w:rsidRDefault="006E34CC" w:rsidP="006603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4CC" w:rsidRDefault="006E34CC" w:rsidP="00660326">
      <w:r>
        <w:separator/>
      </w:r>
    </w:p>
  </w:footnote>
  <w:footnote w:type="continuationSeparator" w:id="1">
    <w:p w:rsidR="006E34CC" w:rsidRDefault="006E34CC" w:rsidP="006603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0326"/>
    <w:rsid w:val="00660326"/>
    <w:rsid w:val="006E34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26"/>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0326"/>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660326"/>
    <w:rPr>
      <w:sz w:val="18"/>
      <w:szCs w:val="18"/>
    </w:rPr>
  </w:style>
  <w:style w:type="paragraph" w:styleId="a4">
    <w:name w:val="footer"/>
    <w:basedOn w:val="a"/>
    <w:link w:val="Char0"/>
    <w:uiPriority w:val="99"/>
    <w:semiHidden/>
    <w:unhideWhenUsed/>
    <w:rsid w:val="00660326"/>
    <w:pPr>
      <w:widowControl w:val="0"/>
      <w:tabs>
        <w:tab w:val="center" w:pos="4153"/>
        <w:tab w:val="right" w:pos="8306"/>
      </w:tabs>
      <w:snapToGrid w:val="0"/>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660326"/>
    <w:rPr>
      <w:sz w:val="18"/>
      <w:szCs w:val="18"/>
    </w:rPr>
  </w:style>
  <w:style w:type="paragraph" w:styleId="a5">
    <w:name w:val="Normal (Web)"/>
    <w:basedOn w:val="a"/>
    <w:uiPriority w:val="99"/>
    <w:unhideWhenUsed/>
    <w:rsid w:val="00660326"/>
  </w:style>
  <w:style w:type="character" w:styleId="a6">
    <w:name w:val="Strong"/>
    <w:basedOn w:val="a0"/>
    <w:uiPriority w:val="22"/>
    <w:qFormat/>
    <w:rsid w:val="0066032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836</Words>
  <Characters>4766</Characters>
  <Application>Microsoft Office Word</Application>
  <DocSecurity>0</DocSecurity>
  <Lines>39</Lines>
  <Paragraphs>11</Paragraphs>
  <ScaleCrop>false</ScaleCrop>
  <Company>微软中国</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2012-11-20T07:57:00Z</dcterms:created>
  <dcterms:modified xsi:type="dcterms:W3CDTF">2012-11-20T08:00:00Z</dcterms:modified>
</cp:coreProperties>
</file>